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530.0"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1890"/>
        <w:gridCol w:w="5490"/>
        <w:gridCol w:w="1530"/>
        <w:gridCol w:w="1620"/>
        <w:tblGridChange w:id="0">
          <w:tblGrid>
            <w:gridCol w:w="1890"/>
            <w:gridCol w:w="5490"/>
            <w:gridCol w:w="1530"/>
            <w:gridCol w:w="1620"/>
          </w:tblGrid>
        </w:tblGridChange>
      </w:tblGrid>
      <w:tr>
        <w:trPr>
          <w:cantSplit w:val="0"/>
          <w:trHeight w:val="680" w:hRule="atLeast"/>
          <w:tblHeader w:val="0"/>
        </w:trPr>
        <w:tc>
          <w:tcPr>
            <w:gridSpan w:val="4"/>
            <w:tcBorders>
              <w:top w:color="000000" w:space="0" w:sz="2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200" w:before="120" w:line="276" w:lineRule="auto"/>
              <w:ind w:left="0" w:right="0" w:firstLine="0"/>
              <w:jc w:val="center"/>
              <w:rPr>
                <w:b w:val="1"/>
                <w:bCs w:val="1"/>
                <w:i w:val="0"/>
                <w:iCs w:val="0"/>
                <w:smallCaps w:val="0"/>
                <w:strike w:val="0"/>
                <w:sz w:val="22"/>
                <w:szCs w:val="22"/>
                <w:u w:val="none"/>
                <w:shd w:fill="auto" w:val="clear"/>
                <w:vertAlign w:val="baseline"/>
              </w:rPr>
            </w:pPr>
            <w:r w:rsidDel="00000000" w:rsidR="00000000" w:rsidRPr="00000000">
              <w:rPr>
                <w:b w:val="1"/>
                <w:bCs w:val="1"/>
                <w:sz w:val="48"/>
                <w:szCs w:val="48"/>
                <w:rtl w:val="0"/>
              </w:rPr>
              <w:t xml:space="preserve">Cleveland City Board of Education</w:t>
            </w:r>
            <w:r w:rsidDel="00000000" w:rsidR="00000000" w:rsidRPr="00000000">
              <w:rPr>
                <w:rtl w:val="0"/>
              </w:rPr>
            </w:r>
          </w:p>
        </w:tc>
      </w:tr>
      <w:tr>
        <w:trPr>
          <w:cantSplit w:val="0"/>
          <w:trHeight w:val="46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Monitoring:</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Review: Annually, in March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Descriptor Term:</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Attendance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Descriptor Code:</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6.200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Issued Date:</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cantSplit w:val="0"/>
          <w:trHeight w:val="54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Rescinds:</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top"/>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Issued:</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bookmarkStart w:colFirst="0" w:colLast="0" w:name="bookmark=id.6hqwnj2523n5" w:id="0"/>
    <w:bookmarkEnd w:id="0"/>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Attendance is a key factor in student achievement; therefore, students are expected to be present each day school is in session.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Director of Schools/designee shall ensure that this policy is posted in each school building and disseminated to all students, parent(s)/guardian(s), teachers, and administrative staff.</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Attendance Supervisor shall oversee the entire attendance program which shall include: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All accounting and reporting procedures and their dissemination;</w:t>
        <w:br w:type="textWrapping"/>
      </w:r>
    </w:p>
    <w:p w:rsidR="00000000" w:rsidDel="00000000" w:rsidP="00000000" w:rsidRDefault="00000000" w:rsidRPr="00000000" w14:paraId="0000001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Alternative program options for students who severely fail to meet minimum attendance </w:t>
        <w:tab/>
        <w:t xml:space="preserve">    requirements;</w:t>
        <w:br w:type="textWrapping"/>
      </w:r>
    </w:p>
    <w:p w:rsidR="00000000" w:rsidDel="00000000" w:rsidP="00000000" w:rsidRDefault="00000000" w:rsidRPr="00000000" w14:paraId="0000001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Ensuring that all school age children attend school;</w:t>
        <w:br w:type="textWrapping"/>
      </w:r>
    </w:p>
    <w:p w:rsidR="00000000" w:rsidDel="00000000" w:rsidP="00000000" w:rsidRDefault="00000000" w:rsidRPr="00000000" w14:paraId="0000001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Providing documentation of enrollment status upon request for students applying for new or reinstatement of driver's permit or license; and </w:t>
        <w:br w:type="textWrapping"/>
      </w:r>
    </w:p>
    <w:p w:rsidR="00000000" w:rsidDel="00000000" w:rsidP="00000000" w:rsidRDefault="00000000" w:rsidRPr="00000000" w14:paraId="0000001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Notifying the Department of Safety whenever a student with a driver's permit or license  withdraws from school.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2</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 attendance records shall be given the same level of confidentiality as other student records.  Only authorized school officials with legitimate educational purposes may have access to student information without the consent of the student or parent(s)/guardian(s).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3</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Absences shall be classified as either excused or unexcused as determined by the principal/designee.  Excused absences shall include: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4</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Personal illness/injury;</w:t>
        <w:br w:type="textWrapping"/>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Illness of immediate family member;</w:t>
        <w:br w:type="textWrapping"/>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Death in the family;</w:t>
        <w:br w:type="textWrapping"/>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Extreme weather conditions;</w:t>
        <w:br w:type="textWrapping"/>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Religious observances;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br w:type="textWrapping"/>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Pregnancy; </w:t>
        <w:br w:type="textWrapping"/>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School endorsed activities;</w:t>
        <w:br w:type="textWrapping"/>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Summons, subpoena, or court order; or</w:t>
        <w:br w:type="textWrapping"/>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Circumstances which in the judgment of the principal create emergencies over which the student has no control.</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principal shall be responsible for ensuring that: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1.  Attendance is checked and reported daily for each class;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Daily absentee sheets contain sign in/sign out sheets and indicate students present or absent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for the majority of the day;</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3.  All student absences are verified;</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4.  Written excuses are submitted for absences and tardiness; and</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5.  System-wide procedures for accounting and reporting are followed.</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TRUANCY</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bsfqpmmb6min" w:id="1"/>
      <w:bookmarkEnd w:id="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Annually, the Director of Schools/designee will provide written notice to parent(s)/guardian(s) that attendance at school is required. Students shall be present at least fifty percent (50%) of the scheduled school day in order to be counted present. Students may attend part-time days, alternating days, or for a specific amount of time as indicated in their Individualized Education Plan or 504 Plan and shall be considered present for school attendance purposes. If a student is required to participate in a remedial instruction program outside of the regular school day where there is no cost to the parent(s)/guardian(s) and the school district provides transportation, unexcused absences from these programs shall be reported in the same manner.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7</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student who is absent five (5) days without adequate excuse shall be reported to the Director of Schools/designee who will, in turn, provide written notice to the parent(s)/guardian(s) of the student's absence. If a parent/guardian does not provide documentation within adequate time excusing those absences or request an attendance hearing, then the Director of Schools shall implement the progressive truancy intervention plan described below prior to referral to juvenile court.</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Progressive Truancy Plan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8</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Tier I: Prevention-Oriented Supports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88"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Tier I of the progressive truancy plan shall apply to all students within the district and include schoolwide prevention-oriented supports to assist with satisfactory attendance. These supports shall include, but are not limited to,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progressive truancy plan will be published annually to parents and students prior to the start of the school year.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c6c6c6" w:val="clear"/>
          <w:vertAlign w:val="baseline"/>
          <w:rtl w:val="0"/>
        </w:rPr>
        <w:t xml:space="preserve">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Each school will be responsible for contacting the parent/guardian of a student who accumulates 5 days of unexcused absences. If the student accumulates another unexcused absence after contact is made with the parent/guardian, a referral to Tier 2 will be made and the Campus Court Mediation process will begin.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88"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Tier II: Campus Court Mediation</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Tier II of the progressive truancy plan shall be implemented after the student accumulates five (5) unexcused absences, and includes the following:</w:t>
      </w:r>
    </w:p>
    <w:p w:rsidR="00000000" w:rsidDel="00000000" w:rsidP="00000000" w:rsidRDefault="00000000" w:rsidRPr="00000000" w14:paraId="000000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School personnel will schedule a meeting with the student, parent/guardian, relevant school personnel, and Juvenile Court Staff mediator;</w:t>
      </w:r>
    </w:p>
    <w:p w:rsidR="00000000" w:rsidDel="00000000" w:rsidP="00000000" w:rsidRDefault="00000000" w:rsidRPr="00000000" w14:paraId="000000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During the meeting, an agreement will be drafted and signed by the student, parent/guardian, school personnel, and Juvenile Court Staff Mediator. A review date will be set for each agreement. The agreement will include, but will not be limited to:</w:t>
      </w:r>
    </w:p>
    <w:p w:rsidR="00000000" w:rsidDel="00000000" w:rsidP="00000000" w:rsidRDefault="00000000" w:rsidRPr="00000000" w14:paraId="0000003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160" w:line="288" w:lineRule="auto"/>
        <w:ind w:left="1853" w:right="0" w:hanging="253.000000000000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Attendance expectations;</w:t>
      </w:r>
    </w:p>
    <w:p w:rsidR="00000000" w:rsidDel="00000000" w:rsidP="00000000" w:rsidRDefault="00000000" w:rsidRPr="00000000" w14:paraId="0000004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160" w:line="288" w:lineRule="auto"/>
        <w:ind w:left="1853" w:right="0" w:hanging="253.000000000000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Penalties for additional absences;</w:t>
      </w:r>
    </w:p>
    <w:p w:rsidR="00000000" w:rsidDel="00000000" w:rsidP="00000000" w:rsidRDefault="00000000" w:rsidRPr="00000000" w14:paraId="0000004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160" w:line="288" w:lineRule="auto"/>
        <w:ind w:left="1853" w:right="0" w:hanging="253.000000000000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Any additional expectations determined necessary by meeting members; and/or</w:t>
      </w:r>
    </w:p>
    <w:p w:rsidR="00000000" w:rsidDel="00000000" w:rsidP="00000000" w:rsidRDefault="00000000" w:rsidRPr="00000000" w14:paraId="0000004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160" w:line="288" w:lineRule="auto"/>
        <w:ind w:left="1853" w:right="0" w:hanging="253.000000000000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necessary, referral of the child to counseling, community-based services, or other in-school or out-of-school services aimed at addressing the student's attendance problems.</w:t>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report of the meeting will be drafted and maintained in the Campus Court system. The report will include the basis for the student’s absences provided by the parent, as well as a report from the school concerning the student’s absences.</w:t>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160" w:line="288"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review date will be set for each Tier 2 case.</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288"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Tier 3: Campus Court Review and Services</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Tier III shall be implemented if the truancy interventions under Tier II are unsuccessful. Tier III shall consist of the following interventions: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0" w:line="276"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following the Tier 2 process, a student accumulates one or more unexcused absences, a review meeting will be scheduled with the student, parent/guardian, relevant school personnel, and the Juvenile Court Staff mediator.</w:t>
      </w:r>
    </w:p>
    <w:p w:rsidR="00000000" w:rsidDel="00000000" w:rsidP="00000000" w:rsidRDefault="00000000" w:rsidRPr="00000000" w14:paraId="0000004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0" w:line="276"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mediator may recommend any services deemed necessary by the mediator.</w:t>
      </w:r>
    </w:p>
    <w:p w:rsidR="00000000" w:rsidDel="00000000" w:rsidP="00000000" w:rsidRDefault="00000000" w:rsidRPr="00000000" w14:paraId="0000004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0" w:line="276"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student may be referred to the “Behavior Unit” for a service assessment.</w:t>
      </w:r>
    </w:p>
    <w:p w:rsidR="00000000" w:rsidDel="00000000" w:rsidP="00000000" w:rsidRDefault="00000000" w:rsidRPr="00000000" w14:paraId="000000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0" w:line="276" w:lineRule="auto"/>
        <w:ind w:left="1053" w:right="0" w:hanging="252.999999999999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Further absences or non-compliance will result in a Juvenile Court petition for truancy pursuant to T.C.A.  § 49-6-3009 through Bradley County Juvenile Court.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Tier 2 or Tier 3 is unsuccessful with a student and the school can document that the student's parent/guardian is unwilling to cooperate with the truancy intervention plan, then a referral may be made to Bradley County Juvenile Court without first having to implement subsequent intervention tiers, if any, pursuant to T.C.A. § 49-6- 3009(f)(1-2). Evidence that a parent/guardian is unwilling to cooperate can include, but is not limited to, a parent/guardian's failure or refusal, on multiple occasions, to attend meetings scheduled for Tier 2 or 3 interventions, return telephone calls, attend follow-up meetings, enter into an attendance agreement, or actively participate in any of the tiers of the truancy intervention plan.</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i w:val="0"/>
          <w:iCs w:val="0"/>
          <w:smallCaps w:val="0"/>
          <w:strike w:val="0"/>
          <w:color w:val="ff0000"/>
          <w:sz w:val="24"/>
          <w:szCs w:val="24"/>
          <w:u w:val="none"/>
          <w:shd w:fill="auto" w:val="clear"/>
          <w:vertAlign w:val="baseline"/>
        </w:rPr>
      </w:pPr>
      <w:r w:rsidDel="00000000" w:rsidR="00000000" w:rsidRPr="00000000">
        <w:rPr>
          <w:i w:val="0"/>
          <w:iCs w:val="0"/>
          <w:smallCaps w:val="0"/>
          <w:strike w:val="0"/>
          <w:color w:val="ff0000"/>
          <w:sz w:val="24"/>
          <w:szCs w:val="24"/>
          <w:u w:val="none"/>
          <w:shd w:fill="auto" w:val="clear"/>
          <w:vertAlign w:val="baseline"/>
          <w:rtl w:val="0"/>
        </w:rPr>
        <w:t xml:space="preserve">The interventions shall address students’ needs in an age-appropriate manner. Finalized plans shall be approved by the Director of Schools/designee.  </w:t>
        <w:br w:type="textWrapping"/>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i w:val="1"/>
          <w:iCs w:val="1"/>
          <w:smallCaps w:val="0"/>
          <w:strike w:val="0"/>
          <w:color w:val="ff0000"/>
          <w:sz w:val="24"/>
          <w:szCs w:val="24"/>
          <w:u w:val="none"/>
          <w:shd w:fill="auto" w:val="clear"/>
          <w:vertAlign w:val="baseline"/>
        </w:rPr>
      </w:pPr>
      <w:r w:rsidDel="00000000" w:rsidR="00000000" w:rsidRPr="00000000">
        <w:rPr>
          <w:i w:val="1"/>
          <w:iCs w:val="1"/>
          <w:smallCaps w:val="0"/>
          <w:strike w:val="0"/>
          <w:color w:val="ff0000"/>
          <w:sz w:val="24"/>
          <w:szCs w:val="24"/>
          <w:u w:val="none"/>
          <w:shd w:fill="auto" w:val="clear"/>
          <w:vertAlign w:val="baseline"/>
          <w:rtl w:val="0"/>
        </w:rPr>
        <w:t xml:space="preserve">Transfer Students and Truancy Tracking</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i w:val="0"/>
          <w:iCs w:val="0"/>
          <w:smallCaps w:val="0"/>
          <w:strike w:val="0"/>
          <w:color w:val="ff0000"/>
          <w:sz w:val="24"/>
          <w:szCs w:val="24"/>
          <w:u w:val="none"/>
          <w:shd w:fill="auto" w:val="clear"/>
          <w:vertAlign w:val="superscript"/>
        </w:rPr>
      </w:pPr>
      <w:r w:rsidDel="00000000" w:rsidR="00000000" w:rsidRPr="00000000">
        <w:rPr>
          <w:i w:val="0"/>
          <w:iCs w:val="0"/>
          <w:smallCaps w:val="0"/>
          <w:strike w:val="0"/>
          <w:color w:val="ff0000"/>
          <w:sz w:val="24"/>
          <w:szCs w:val="24"/>
          <w:u w:val="none"/>
          <w:shd w:fill="auto" w:val="clear"/>
          <w:vertAlign w:val="baseline"/>
          <w:rtl w:val="0"/>
        </w:rPr>
        <w:t xml:space="preserve">The district shall request attendance records for students enrolling after the start of the school year from the previous public school district. Unexcused absences accumulated at a previous district for the current school year shall be factored into the student’s placement on the truancy intervention plan tiers, if applicable.</w:t>
      </w:r>
      <w:r w:rsidDel="00000000" w:rsidR="00000000" w:rsidRPr="00000000">
        <w:rPr>
          <w:i w:val="0"/>
          <w:iCs w:val="0"/>
          <w:smallCaps w:val="0"/>
          <w:strike w:val="0"/>
          <w:color w:val="ff0000"/>
          <w:sz w:val="24"/>
          <w:szCs w:val="24"/>
          <w:u w:val="none"/>
          <w:shd w:fill="auto" w:val="clear"/>
          <w:vertAlign w:val="superscript"/>
          <w:rtl w:val="0"/>
        </w:rPr>
        <w:t xml:space="preserve">9</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vertAlign w:val="superscrip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vertAlign w:val="baseline"/>
          <w:rtl w:val="0"/>
        </w:rPr>
        <w:t xml:space="preserve">NON-SCHOOL SPONSORED EXTRACURRICULAR ACTIVITY</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superscript"/>
          <w:rtl w:val="0"/>
        </w:rPr>
        <w:t xml:space="preserve">10</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A principal/designee may excuse a student to participate in non-school sponsored extracurricular activities. The principal shall document the approval in writing and shall excuse no more than ten (10) absences each school year. No later than seven (7) business days prior to the student’s absence, the student shall provide documentation to the school as proof of the student’s participation along with a written request for the excused absence from the student’s parent/guardian. The request shall include the following:</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Student’s name and personal identification number;</w:t>
        <w:br w:type="textWrapping"/>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Student’s grade;</w:t>
        <w:br w:type="textWrapping"/>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The dates of the student’s absence;</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The reason for the student’s absence; and</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The signatures of the student and parent/guardian.</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1"/>
          <w:bCs w:val="1"/>
          <w:i w:val="0"/>
          <w:iCs w:val="0"/>
          <w:smallCaps w:val="0"/>
          <w:strike w:val="0"/>
          <w:color w:val="000000"/>
          <w:sz w:val="24"/>
          <w:szCs w:val="24"/>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Excuse for a sibling’s attendance in this activity must be requested at the student’s individual school.</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vertAlign w:val="superscript"/>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vertAlign w:val="baseline"/>
          <w:rtl w:val="0"/>
        </w:rPr>
        <w:t xml:space="preserve">RELEASED TIME COURSE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superscript"/>
          <w:rtl w:val="0"/>
        </w:rPr>
        <w:t xml:space="preserve">11</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A principal/designee may excuse a student to attend a course in religious moral instruction for up to one (1) class period per school day. Students shall not be excused during any class which requires an examination for state or federal accountability purposes.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Students shall only be permitted to attend courses provided by entities that certify in writing that they have complied with the background check requirements outlined in state law.</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superscript"/>
          <w:rtl w:val="0"/>
        </w:rPr>
        <w:t xml:space="preserve">12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 The student shall submit a written consent form signed by the student’s parent/guardian prior to participation in the released time course. The principal/designee shall document the approval in writing. The student shall provide documentation to the principal/designee as proof of the student’s participation in the released time course.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vertAlign w:val="baseline"/>
          <w:rtl w:val="0"/>
        </w:rPr>
        <w:t xml:space="preserve">The district shall not be responsible for transporting students to and from the place of instruction.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sdt>
        <w:sdtPr>
          <w:id w:val="-1192591682"/>
          <w:tag w:val="goog_rdk_0"/>
        </w:sdtPr>
        <w:sdtContent>
          <w:commentRangeStart w:id="0"/>
        </w:sdtContent>
      </w:sdt>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ff0000"/>
          <w:sz w:val="24"/>
          <w:szCs w:val="24"/>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vertAlign w:val="baseline"/>
          <w:rtl w:val="0"/>
        </w:rPr>
        <w:t xml:space="preserve">Upon submission of the student’s transcript from the entity that provided the released time course, the student may be awarded one (1) unit of elective credit. The Director of Schools shall develop procedures with secular criteria for determining whether credit shall be awarded.]</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vertAlign w:val="baseline"/>
          <w:rtl w:val="0"/>
        </w:rPr>
        <w:t xml:space="preserve">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MAKE-UP WORK</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highlight w:val="white"/>
          <w:u w:val="none"/>
          <w:vertAlign w:val="baseline"/>
        </w:rPr>
      </w:pPr>
      <w:r w:rsidDel="00000000" w:rsidR="00000000" w:rsidRPr="00000000">
        <w:rPr>
          <w:rFonts w:ascii="Times" w:cs="Times" w:eastAsia="Times" w:hAnsi="Times"/>
          <w:b w:val="0"/>
          <w:bCs w:val="0"/>
          <w:i w:val="0"/>
          <w:iCs w:val="0"/>
          <w:smallCaps w:val="0"/>
          <w:strike w:val="0"/>
          <w:color w:val="000000"/>
          <w:sz w:val="24"/>
          <w:szCs w:val="24"/>
          <w:highlight w:val="white"/>
          <w:u w:val="none"/>
          <w:vertAlign w:val="baseline"/>
          <w:rtl w:val="0"/>
        </w:rPr>
        <w:t xml:space="preserve">Students will have an equal amount of time plus one day to make up work missed due to an excused absence. (I.e. student is absent Monday, make-up work must be turned in Wednesday; student misses Monday and Tuesday, make-up work must be turned in Friday). Make-up work for unexcused absences will be handled on a case by case basis. Make-up work for absences (arranged at least one week in advance) may be provided.</w:t>
      </w:r>
      <w:r w:rsidDel="00000000" w:rsidR="00000000" w:rsidRPr="00000000">
        <w:rPr>
          <w:rFonts w:ascii="Times" w:cs="Times" w:eastAsia="Times" w:hAnsi="Times"/>
          <w:b w:val="0"/>
          <w:bCs w:val="0"/>
          <w:i w:val="0"/>
          <w:iCs w:val="0"/>
          <w:smallCaps w:val="0"/>
          <w:strike w:val="0"/>
          <w:color w:val="000000"/>
          <w:sz w:val="24"/>
          <w:szCs w:val="24"/>
          <w:u w:val="none"/>
          <w:shd w:fill="c6c6c6" w:val="clear"/>
          <w:vertAlign w:val="baseline"/>
          <w:rtl w:val="0"/>
        </w:rPr>
        <w:t xml:space="preserve">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STATE-MANDATED ASSESSMENT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who are absent the day of the scheduled end-of-course (EOC) exams shall present a signed doctor’s excuse or have been given an excused release by the principal prior to testing to receive an excused absence. Students who have excused absences will be allowed to take a make-up exam. Excused students will receive an incomplete in the course until they have taken the EOC exam.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who have an unexcused absence shall receive a failing grade on the EOC exam which shall be averaged into their final grade.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CREDIT/PROMOTION DENIAL</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Credit/promotion denial determinations may include student attendance; however, student attendance may not be the sole criterion.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If attendance is a factor prior to credit/promotion denial, the following shall occur:</w:t>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student and the parent(s)/guardian(s) shall be advised if the student is in danger of credit/promotion denial due to excessive absenteeism; and </w:t>
        <w:br w:type="textWrapping"/>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Procedures in due process are available to the student when credit or promotion is denied.</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DRIVER'S LICENSE REVOCATION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2</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student who has more than ten (10) consecutive or fifteen (15) unexcused absences during any semester shall be ineligible to retain a driver's permit or license.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ATTENDANCE HEARING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14</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Students with excessive (more than five (5)) unexcused absences or those in danger of credit/promotion denial shall have the opportunity to appeal to an attendance hearing committee appointed by the principal. If the student chooses to appeal, the student or his/her parent(s)/guardian(s) shall be provided written or actual notice of the appeal hearing and shall be given the opportunity to address the committee. The committee will conduct a hearing to determine if any extenuating circumstances exist to excuse an</w:t>
      </w:r>
      <w:r w:rsidDel="00000000" w:rsidR="00000000" w:rsidRPr="00000000">
        <w:rPr>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absence(s) or to determine if the student has met attendance requirements that will allow him/her to pass the course or be promoted. Upon notification of the attendance committee decision, the principal shall send written notification to the Director of Schools/designee and the parent(s)/guardian(s) of the student of any action taken regarding the excessive unexcused absences. The notification shall advise parent(s)/guardian(s) of their right to appeal such action within two (2) school days to the Director of Schools/designee.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appeal shall be heard no later than ten (10) school days after the request for appeal is received.</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Within five (5) school days of the Director of Schools/designee rendering a decision, the student's parent(s)/guardian(s) may request a hearing by the Board, and the Board shall review the record.  Following the review, the Board may affirm or overturn the decision of the Director of Schools/designee. The action of the Board shall be final.</w:t>
      </w:r>
    </w:p>
    <w:tbl>
      <w:tblPr>
        <w:tblStyle w:val="Table2"/>
        <w:tblW w:w="9612.0" w:type="dxa"/>
        <w:jc w:val="left"/>
        <w:tblInd w:w="486.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842"/>
        <w:gridCol w:w="4770"/>
        <w:tblGridChange w:id="0">
          <w:tblGrid>
            <w:gridCol w:w="4842"/>
            <w:gridCol w:w="4770"/>
          </w:tblGrid>
        </w:tblGridChange>
      </w:tblGrid>
      <w:tr>
        <w:trPr>
          <w:cantSplit w:val="0"/>
          <w:trHeight w:val="207" w:hRule="atLeast"/>
          <w:tblHeader w:val="0"/>
        </w:trPr>
        <w:tc>
          <w:tcPr>
            <w:tcBorders>
              <w:top w:color="000000" w:space="0" w:sz="0" w:val="nil"/>
              <w:left w:color="000000" w:space="0" w:sz="0" w:val="nil"/>
              <w:bottom w:color="000000" w:space="0" w:sz="4" w:val="single"/>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6D">
            <w:pPr>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6E">
            <w:pPr>
              <w:rPr/>
            </w:pPr>
            <w:r w:rsidDel="00000000" w:rsidR="00000000" w:rsidRPr="00000000">
              <w:rPr>
                <w:rtl w:val="0"/>
              </w:rPr>
            </w:r>
          </w:p>
        </w:tc>
      </w:tr>
      <w:tr>
        <w:trPr>
          <w:cantSplit w:val="0"/>
          <w:trHeight w:val="527" w:hRule="atLeast"/>
          <w:tblHeader w:val="0"/>
        </w:trPr>
        <w:tc>
          <w:tcPr>
            <w:tcBorders>
              <w:top w:color="000000" w:space="0" w:sz="4" w:val="single"/>
              <w:left w:color="000000" w:space="0" w:sz="0" w:val="nil"/>
              <w:bottom w:color="000000" w:space="0" w:sz="0" w:val="nil"/>
              <w:right w:color="000000" w:space="0" w:sz="0" w:val="nil"/>
            </w:tcBorders>
            <w:shd w:fill="auto" w:val="clear"/>
            <w:tcMar>
              <w:top w:w="80.0" w:type="dxa"/>
              <w:left w:w="80.0" w:type="dxa"/>
              <w:bottom w:w="80.0" w:type="dxa"/>
              <w:right w:w="800.0" w:type="dxa"/>
            </w:tcMar>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72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Legal References</w:t>
            </w: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Cross References</w:t>
            </w:r>
            <w:r w:rsidDel="00000000" w:rsidR="00000000" w:rsidRPr="00000000">
              <w:rPr>
                <w:rtl w:val="0"/>
              </w:rPr>
            </w:r>
          </w:p>
        </w:tc>
      </w:tr>
      <w:tr>
        <w:trPr>
          <w:cantSplit w:val="0"/>
          <w:trHeight w:val="7012" w:hRule="atLeast"/>
          <w:tblHeader w:val="0"/>
        </w:trPr>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0" w:type="dxa"/>
            </w:tcMar>
            <w:vAlign w:val="top"/>
          </w:tcPr>
          <w:p w:rsidR="00000000" w:rsidDel="00000000" w:rsidP="00000000" w:rsidRDefault="00000000" w:rsidRPr="00000000" w14:paraId="0000007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49-6-3006</w:t>
              </w:r>
            </w:hyperlink>
            <w:r w:rsidDel="00000000" w:rsidR="00000000" w:rsidRPr="00000000">
              <w:rPr>
                <w:rtl w:val="0"/>
              </w:rPr>
            </w:r>
          </w:p>
          <w:p w:rsidR="00000000" w:rsidDel="00000000" w:rsidP="00000000" w:rsidRDefault="00000000" w:rsidRPr="00000000" w14:paraId="0000007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49-6-3017(c)</w:t>
              </w:r>
            </w:hyperlink>
            <w:r w:rsidDel="00000000" w:rsidR="00000000" w:rsidRPr="00000000">
              <w:rPr>
                <w:rtl w:val="0"/>
              </w:rPr>
            </w:r>
          </w:p>
          <w:p w:rsidR="00000000" w:rsidDel="00000000" w:rsidP="00000000" w:rsidRDefault="00000000" w:rsidRPr="00000000" w14:paraId="00000073">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20 USCA § 1232g</w:t>
              </w:r>
            </w:hyperlink>
            <w:r w:rsidDel="00000000" w:rsidR="00000000" w:rsidRPr="00000000">
              <w:rPr>
                <w:rtl w:val="0"/>
              </w:rPr>
            </w:r>
          </w:p>
          <w:p w:rsidR="00000000" w:rsidDel="00000000" w:rsidP="00000000" w:rsidRDefault="00000000" w:rsidRPr="00000000" w14:paraId="00000074">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TRR/MS 0520-01-02-.17(5)</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State Board of Education Policy 4.100</w:t>
              </w:r>
            </w:hyperlink>
            <w:r w:rsidDel="00000000" w:rsidR="00000000" w:rsidRPr="00000000">
              <w:rPr>
                <w:rtl w:val="0"/>
              </w:rPr>
            </w:r>
          </w:p>
          <w:p w:rsidR="00000000" w:rsidDel="00000000" w:rsidP="00000000" w:rsidRDefault="00000000" w:rsidRPr="00000000" w14:paraId="00000075">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49-6-2904(b)(5)</w:t>
              </w:r>
            </w:hyperlink>
            <w:r w:rsidDel="00000000" w:rsidR="00000000" w:rsidRPr="00000000">
              <w:rPr>
                <w:rtl w:val="0"/>
              </w:rPr>
            </w:r>
          </w:p>
          <w:p w:rsidR="00000000" w:rsidDel="00000000" w:rsidP="00000000" w:rsidRDefault="00000000" w:rsidRPr="00000000" w14:paraId="00000076">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49-6-3007</w:t>
              </w:r>
            </w:hyperlink>
            <w:r w:rsidDel="00000000" w:rsidR="00000000" w:rsidRPr="00000000">
              <w:rPr>
                <w:rtl w:val="0"/>
              </w:rPr>
            </w:r>
          </w:p>
          <w:p w:rsidR="00000000" w:rsidDel="00000000" w:rsidP="00000000" w:rsidRDefault="00000000" w:rsidRPr="00000000" w14:paraId="00000077">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49-6-3021</w:t>
              </w:r>
            </w:hyperlink>
            <w:r w:rsidDel="00000000" w:rsidR="00000000" w:rsidRPr="00000000">
              <w:rPr>
                <w:rtl w:val="0"/>
              </w:rPr>
            </w:r>
          </w:p>
          <w:p w:rsidR="00000000" w:rsidDel="00000000" w:rsidP="00000000" w:rsidRDefault="00000000" w:rsidRPr="00000000" w14:paraId="00000078">
            <w:pPr>
              <w:keepNext w:val="0"/>
              <w:keepLines w:val="0"/>
              <w:widowControl w:val="1"/>
              <w:numPr>
                <w:ilvl w:val="0"/>
                <w:numId w:val="15"/>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49-6-3007</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49-6-3009</w:t>
              </w:r>
            </w:hyperlink>
            <w:r w:rsidDel="00000000" w:rsidR="00000000" w:rsidRPr="00000000">
              <w:rPr>
                <w:rtl w:val="0"/>
              </w:rPr>
            </w:r>
          </w:p>
          <w:p w:rsidR="00000000" w:rsidDel="00000000" w:rsidP="00000000" w:rsidRDefault="00000000" w:rsidRPr="00000000" w14:paraId="00000079">
            <w:pPr>
              <w:keepNext w:val="0"/>
              <w:keepLines w:val="0"/>
              <w:widowControl w:val="1"/>
              <w:numPr>
                <w:ilvl w:val="0"/>
                <w:numId w:val="16"/>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844</w:t>
              </w:r>
            </w:hyperlink>
            <w:r w:rsidDel="00000000" w:rsidR="00000000" w:rsidRPr="00000000">
              <w:rPr>
                <w:rtl w:val="0"/>
              </w:rPr>
            </w:r>
          </w:p>
          <w:p w:rsidR="00000000" w:rsidDel="00000000" w:rsidP="00000000" w:rsidRDefault="00000000" w:rsidRPr="00000000" w14:paraId="0000007A">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49-6-3022</w:t>
              </w:r>
            </w:hyperlink>
            <w:r w:rsidDel="00000000" w:rsidR="00000000" w:rsidRPr="00000000">
              <w:rPr>
                <w:rtl w:val="0"/>
              </w:rPr>
            </w:r>
          </w:p>
          <w:p w:rsidR="00000000" w:rsidDel="00000000" w:rsidP="00000000" w:rsidRDefault="00000000" w:rsidRPr="00000000" w14:paraId="0000007B">
            <w:pPr>
              <w:keepNext w:val="0"/>
              <w:keepLines w:val="0"/>
              <w:widowControl w:val="1"/>
              <w:numPr>
                <w:ilvl w:val="0"/>
                <w:numId w:val="18"/>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49-2-130</w:t>
              </w:r>
            </w:hyperlink>
            <w:r w:rsidDel="00000000" w:rsidR="00000000" w:rsidRPr="00000000">
              <w:rPr>
                <w:rtl w:val="0"/>
              </w:rPr>
            </w:r>
          </w:p>
          <w:p w:rsidR="00000000" w:rsidDel="00000000" w:rsidP="00000000" w:rsidRDefault="00000000" w:rsidRPr="00000000" w14:paraId="0000007C">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49-2-130(i)</w:t>
              </w:r>
            </w:hyperlink>
            <w:r w:rsidDel="00000000" w:rsidR="00000000" w:rsidRPr="00000000">
              <w:rPr>
                <w:rtl w:val="0"/>
              </w:rPr>
            </w:r>
          </w:p>
          <w:p w:rsidR="00000000" w:rsidDel="00000000" w:rsidP="00000000" w:rsidRDefault="00000000" w:rsidRPr="00000000" w14:paraId="0000007D">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49-2-203(b)(7)</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24">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49-6-3002(b)</w:t>
              </w:r>
            </w:hyperlink>
            <w:r w:rsidDel="00000000" w:rsidR="00000000" w:rsidRPr="00000000">
              <w:rPr>
                <w:rtl w:val="0"/>
              </w:rPr>
            </w:r>
          </w:p>
          <w:p w:rsidR="00000000" w:rsidDel="00000000" w:rsidP="00000000" w:rsidRDefault="00000000" w:rsidRPr="00000000" w14:paraId="0000007E">
            <w:pPr>
              <w:keepNext w:val="0"/>
              <w:keepLines w:val="0"/>
              <w:widowControl w:val="1"/>
              <w:numPr>
                <w:ilvl w:val="0"/>
                <w:numId w:val="21"/>
              </w:numPr>
              <w:pBdr>
                <w:top w:space="0" w:sz="0" w:val="nil"/>
                <w:left w:space="0" w:sz="0" w:val="nil"/>
                <w:bottom w:space="0" w:sz="0" w:val="nil"/>
                <w:right w:space="0" w:sz="0" w:val="nil"/>
                <w:between w:space="0" w:sz="0" w:val="nil"/>
              </w:pBdr>
              <w:shd w:fill="auto" w:val="clear"/>
              <w:spacing w:after="0" w:before="240" w:line="240" w:lineRule="auto"/>
              <w:ind w:left="72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25">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TRR/MS 0520-01-02-.17(7)</w:t>
              </w:r>
            </w:hyperlink>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360" w:right="72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80.0" w:type="dxa"/>
              <w:left w:w="80.0" w:type="dxa"/>
              <w:bottom w:w="80.0" w:type="dxa"/>
              <w:right w:w="80.0" w:type="dxa"/>
            </w:tcMar>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School Calendar 1.800</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Extracurricular Activities 4.300</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Interscholastic Athletics 4.301</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Field Trips/Excursions/Competitions 4.302</w:t>
              <w:br w:type="textWrapping"/>
              <w:t xml:space="preserve">Reporting Student Progress 4.601</w:t>
              <w:br w:type="textWrapping"/>
              <w:t xml:space="preserve">Promotion and Retention 4.603</w:t>
              <w:br w:type="textWrapping"/>
              <w:t xml:space="preserve">Recognition of Religious Beliefs, Customs, &amp; Holidays   4.803</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Voluntary Pre-K Attendance 6.2011</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Homeless Students 6.503</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Students in Foster Care 6.505</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Students from Military Families 6.506</w:t>
              <w:br w:type="textWrapping"/>
              <w:t xml:space="preserve">Student Records 6.600</w:t>
            </w:r>
            <w:r w:rsidDel="00000000" w:rsidR="00000000" w:rsidRPr="00000000">
              <w:rPr>
                <w:rtl w:val="0"/>
              </w:rPr>
            </w:r>
          </w:p>
        </w:tc>
      </w:tr>
    </w:tbl>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378" w:right="0" w:hanging="37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sectPr>
      <w:headerReference r:id="rId26" w:type="default"/>
      <w:headerReference r:id="rId27" w:type="first"/>
      <w:footerReference r:id="rId28" w:type="default"/>
      <w:footerReference r:id="rId29" w:type="first"/>
      <w:pgSz w:h="15840" w:w="12240" w:orient="portrait"/>
      <w:pgMar w:bottom="1440" w:top="1440" w:left="1152" w:right="1152" w:header="720" w:footer="720"/>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ichael Chai" w:id="0" w:date="2026-07-06T14:56:45Z">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 we want this to be part of our policy?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8E"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Time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drawing>
        <wp:inline distB="0" distT="0" distL="0" distR="0">
          <wp:extent cx="6309234" cy="17453"/>
          <wp:effectExtent b="0" l="0" r="0" t="0"/>
          <wp:docPr descr="Picture 3" id="3" name="image1.png"/>
          <a:graphic>
            <a:graphicData uri="http://schemas.openxmlformats.org/drawingml/2006/picture">
              <pic:pic>
                <pic:nvPicPr>
                  <pic:cNvPr descr="Picture 3" id="0" name="image1.png"/>
                  <pic:cNvPicPr preferRelativeResize="0"/>
                </pic:nvPicPr>
                <pic:blipFill>
                  <a:blip r:embed="rId1"/>
                  <a:srcRect b="0" l="0" r="0" t="0"/>
                  <a:stretch>
                    <a:fillRect/>
                  </a:stretch>
                </pic:blipFill>
                <pic:spPr>
                  <a:xfrm>
                    <a:off x="0" y="0"/>
                    <a:ext cx="6309234" cy="17453"/>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8, 2026</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585901</wp:posOffset>
              </wp:positionH>
              <wp:positionV relativeFrom="page">
                <wp:posOffset>425515</wp:posOffset>
              </wp:positionV>
              <wp:extent cx="6640728" cy="85725"/>
              <wp:effectExtent b="0" l="0" r="0" t="0"/>
              <wp:wrapNone/>
              <wp:docPr descr="Straight Connector 2"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D0D0D"/>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585901</wp:posOffset>
              </wp:positionH>
              <wp:positionV relativeFrom="page">
                <wp:posOffset>425515</wp:posOffset>
              </wp:positionV>
              <wp:extent cx="6640728" cy="85725"/>
              <wp:effectExtent b="0" l="0" r="0" t="0"/>
              <wp:wrapNone/>
              <wp:docPr descr="Straight Connector 2" id="1" name="image2.png"/>
              <a:graphic>
                <a:graphicData uri="http://schemas.openxmlformats.org/drawingml/2006/picture">
                  <pic:pic>
                    <pic:nvPicPr>
                      <pic:cNvPr descr="Straight Connector 2" id="0" name="image2.png"/>
                      <pic:cNvPicPr preferRelativeResize="0"/>
                    </pic:nvPicPr>
                    <pic:blipFill>
                      <a:blip r:embed="rId1"/>
                      <a:srcRect/>
                      <a:stretch>
                        <a:fillRect/>
                      </a:stretch>
                    </pic:blipFill>
                    <pic:spPr>
                      <a:xfrm>
                        <a:off x="0" y="0"/>
                        <a:ext cx="6640728" cy="85725"/>
                      </a:xfrm>
                      <a:prstGeom prst="rect"/>
                      <a:ln/>
                    </pic:spPr>
                  </pic:pic>
                </a:graphicData>
              </a:graphic>
            </wp:anchor>
          </w:drawing>
        </mc:Fallback>
      </mc:AlternateConten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Attendance</w:t>
      <w:tab/>
      <w:tab/>
      <w:t xml:space="preserve">6.200</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4"/>
        <w:szCs w:val="24"/>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581451</wp:posOffset>
              </wp:positionH>
              <wp:positionV relativeFrom="page">
                <wp:posOffset>9427580</wp:posOffset>
              </wp:positionV>
              <wp:extent cx="6691270" cy="57150"/>
              <wp:effectExtent b="0" l="0" r="0" t="0"/>
              <wp:wrapNone/>
              <wp:docPr descr="Straight Connector 1" id="2" name=""/>
              <a:graphic>
                <a:graphicData uri="http://schemas.microsoft.com/office/word/2010/wordprocessingShape">
                  <wps:wsp>
                    <wps:cNvCnPr/>
                    <wps:spPr>
                      <a:xfrm>
                        <a:off x="2019415" y="3780000"/>
                        <a:ext cx="6653170" cy="0"/>
                      </a:xfrm>
                      <a:prstGeom prst="straightConnector1">
                        <a:avLst/>
                      </a:prstGeom>
                      <a:noFill/>
                      <a:ln cap="flat" cmpd="sng" w="1905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581451</wp:posOffset>
              </wp:positionH>
              <wp:positionV relativeFrom="page">
                <wp:posOffset>9427580</wp:posOffset>
              </wp:positionV>
              <wp:extent cx="6691270" cy="57150"/>
              <wp:effectExtent b="0" l="0" r="0" t="0"/>
              <wp:wrapNone/>
              <wp:docPr descr="Straight Connector 1" id="2" name="image3.png"/>
              <a:graphic>
                <a:graphicData uri="http://schemas.openxmlformats.org/drawingml/2006/picture">
                  <pic:pic>
                    <pic:nvPicPr>
                      <pic:cNvPr descr="Straight Connector 1" id="0" name="image3.png"/>
                      <pic:cNvPicPr preferRelativeResize="0"/>
                    </pic:nvPicPr>
                    <pic:blipFill>
                      <a:blip r:embed="rId1"/>
                      <a:srcRect/>
                      <a:stretch>
                        <a:fillRect/>
                      </a:stretch>
                    </pic:blipFill>
                    <pic:spPr>
                      <a:xfrm>
                        <a:off x="0" y="0"/>
                        <a:ext cx="6691270" cy="5715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30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30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300"/>
      </w:pPr>
      <w:rPr>
        <w:smallCaps w:val="0"/>
        <w:strike w:val="0"/>
        <w:shd w:fill="auto" w:val="clear"/>
        <w:vertAlign w:val="baseline"/>
      </w:rPr>
    </w:lvl>
  </w:abstractNum>
  <w:abstractNum w:abstractNumId="2">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30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30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300"/>
      </w:pPr>
      <w:rPr>
        <w:smallCaps w:val="0"/>
        <w:strike w:val="0"/>
        <w:shd w:fill="auto" w:val="clear"/>
        <w:vertAlign w:val="baseline"/>
      </w:rPr>
    </w:lvl>
  </w:abstractNum>
  <w:abstractNum w:abstractNumId="3">
    <w:lvl w:ilvl="0">
      <w:start w:val="1"/>
      <w:numFmt w:val="decimal"/>
      <w:lvlText w:val="%1."/>
      <w:lvlJc w:val="left"/>
      <w:pPr>
        <w:ind w:left="253" w:hanging="253"/>
      </w:pPr>
      <w:rPr>
        <w:smallCaps w:val="0"/>
        <w:strike w:val="0"/>
        <w:shd w:fill="auto" w:val="clear"/>
        <w:vertAlign w:val="baseline"/>
      </w:rPr>
    </w:lvl>
    <w:lvl w:ilvl="1">
      <w:start w:val="1"/>
      <w:numFmt w:val="decimal"/>
      <w:lvlText w:val="%2."/>
      <w:lvlJc w:val="left"/>
      <w:pPr>
        <w:ind w:left="1053" w:hanging="253"/>
      </w:pPr>
      <w:rPr>
        <w:smallCaps w:val="0"/>
        <w:strike w:val="0"/>
        <w:shd w:fill="auto" w:val="clear"/>
        <w:vertAlign w:val="baseline"/>
      </w:rPr>
    </w:lvl>
    <w:lvl w:ilvl="2">
      <w:start w:val="1"/>
      <w:numFmt w:val="decimal"/>
      <w:lvlText w:val="%3."/>
      <w:lvlJc w:val="left"/>
      <w:pPr>
        <w:ind w:left="1853" w:hanging="253"/>
      </w:pPr>
      <w:rPr>
        <w:smallCaps w:val="0"/>
        <w:strike w:val="0"/>
        <w:shd w:fill="auto" w:val="clear"/>
        <w:vertAlign w:val="baseline"/>
      </w:rPr>
    </w:lvl>
    <w:lvl w:ilvl="3">
      <w:start w:val="1"/>
      <w:numFmt w:val="decimal"/>
      <w:lvlText w:val="%4."/>
      <w:lvlJc w:val="left"/>
      <w:pPr>
        <w:ind w:left="2653" w:hanging="253"/>
      </w:pPr>
      <w:rPr>
        <w:smallCaps w:val="0"/>
        <w:strike w:val="0"/>
        <w:shd w:fill="auto" w:val="clear"/>
        <w:vertAlign w:val="baseline"/>
      </w:rPr>
    </w:lvl>
    <w:lvl w:ilvl="4">
      <w:start w:val="1"/>
      <w:numFmt w:val="decimal"/>
      <w:lvlText w:val="%5."/>
      <w:lvlJc w:val="left"/>
      <w:pPr>
        <w:ind w:left="3453" w:hanging="253"/>
      </w:pPr>
      <w:rPr>
        <w:smallCaps w:val="0"/>
        <w:strike w:val="0"/>
        <w:shd w:fill="auto" w:val="clear"/>
        <w:vertAlign w:val="baseline"/>
      </w:rPr>
    </w:lvl>
    <w:lvl w:ilvl="5">
      <w:start w:val="1"/>
      <w:numFmt w:val="decimal"/>
      <w:lvlText w:val="%6."/>
      <w:lvlJc w:val="left"/>
      <w:pPr>
        <w:ind w:left="4253" w:hanging="253"/>
      </w:pPr>
      <w:rPr>
        <w:smallCaps w:val="0"/>
        <w:strike w:val="0"/>
        <w:shd w:fill="auto" w:val="clear"/>
        <w:vertAlign w:val="baseline"/>
      </w:rPr>
    </w:lvl>
    <w:lvl w:ilvl="6">
      <w:start w:val="1"/>
      <w:numFmt w:val="decimal"/>
      <w:lvlText w:val="%7."/>
      <w:lvlJc w:val="left"/>
      <w:pPr>
        <w:ind w:left="5053" w:hanging="253"/>
      </w:pPr>
      <w:rPr>
        <w:smallCaps w:val="0"/>
        <w:strike w:val="0"/>
        <w:shd w:fill="auto" w:val="clear"/>
        <w:vertAlign w:val="baseline"/>
      </w:rPr>
    </w:lvl>
    <w:lvl w:ilvl="7">
      <w:start w:val="1"/>
      <w:numFmt w:val="decimal"/>
      <w:lvlText w:val="%8."/>
      <w:lvlJc w:val="left"/>
      <w:pPr>
        <w:ind w:left="5853" w:hanging="253"/>
      </w:pPr>
      <w:rPr>
        <w:smallCaps w:val="0"/>
        <w:strike w:val="0"/>
        <w:shd w:fill="auto" w:val="clear"/>
        <w:vertAlign w:val="baseline"/>
      </w:rPr>
    </w:lvl>
    <w:lvl w:ilvl="8">
      <w:start w:val="1"/>
      <w:numFmt w:val="decimal"/>
      <w:lvlText w:val="%9."/>
      <w:lvlJc w:val="left"/>
      <w:pPr>
        <w:ind w:left="6653" w:hanging="253"/>
      </w:pPr>
      <w:rPr>
        <w:smallCaps w:val="0"/>
        <w:strike w:val="0"/>
        <w:shd w:fill="auto" w:val="clear"/>
        <w:vertAlign w:val="baseline"/>
      </w:rPr>
    </w:lvl>
  </w:abstractNum>
  <w:abstractNum w:abstractNumId="4">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30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30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300"/>
      </w:pPr>
      <w:rPr>
        <w:smallCaps w:val="0"/>
        <w:strike w:val="0"/>
        <w:shd w:fill="auto" w:val="clear"/>
        <w:vertAlign w:val="baseline"/>
      </w:rPr>
    </w:lvl>
  </w:abstractNum>
  <w:abstractNum w:abstractNumId="5">
    <w:lvl w:ilvl="0">
      <w:start w:val="1"/>
      <w:numFmt w:val="decimal"/>
      <w:lvlText w:val="%1."/>
      <w:lvlJc w:val="left"/>
      <w:pPr>
        <w:ind w:left="253" w:hanging="253"/>
      </w:pPr>
      <w:rPr>
        <w:smallCaps w:val="0"/>
        <w:strike w:val="0"/>
        <w:shd w:fill="auto" w:val="clear"/>
        <w:vertAlign w:val="baseline"/>
      </w:rPr>
    </w:lvl>
    <w:lvl w:ilvl="1">
      <w:start w:val="1"/>
      <w:numFmt w:val="decimal"/>
      <w:lvlText w:val="%2."/>
      <w:lvlJc w:val="left"/>
      <w:pPr>
        <w:ind w:left="1053" w:hanging="253"/>
      </w:pPr>
      <w:rPr>
        <w:smallCaps w:val="0"/>
        <w:strike w:val="0"/>
        <w:shd w:fill="auto" w:val="clear"/>
        <w:vertAlign w:val="baseline"/>
      </w:rPr>
    </w:lvl>
    <w:lvl w:ilvl="2">
      <w:start w:val="1"/>
      <w:numFmt w:val="lowerLetter"/>
      <w:lvlText w:val="%3."/>
      <w:lvlJc w:val="left"/>
      <w:pPr>
        <w:ind w:left="1853" w:hanging="253"/>
      </w:pPr>
      <w:rPr>
        <w:smallCaps w:val="0"/>
        <w:strike w:val="0"/>
        <w:shd w:fill="auto" w:val="clear"/>
        <w:vertAlign w:val="baseline"/>
      </w:rPr>
    </w:lvl>
    <w:lvl w:ilvl="3">
      <w:start w:val="1"/>
      <w:numFmt w:val="decimal"/>
      <w:lvlText w:val="%4."/>
      <w:lvlJc w:val="left"/>
      <w:pPr>
        <w:ind w:left="2653" w:hanging="253"/>
      </w:pPr>
      <w:rPr>
        <w:smallCaps w:val="0"/>
        <w:strike w:val="0"/>
        <w:shd w:fill="auto" w:val="clear"/>
        <w:vertAlign w:val="baseline"/>
      </w:rPr>
    </w:lvl>
    <w:lvl w:ilvl="4">
      <w:start w:val="1"/>
      <w:numFmt w:val="decimal"/>
      <w:lvlText w:val="%5."/>
      <w:lvlJc w:val="left"/>
      <w:pPr>
        <w:ind w:left="3453" w:hanging="253"/>
      </w:pPr>
      <w:rPr>
        <w:smallCaps w:val="0"/>
        <w:strike w:val="0"/>
        <w:shd w:fill="auto" w:val="clear"/>
        <w:vertAlign w:val="baseline"/>
      </w:rPr>
    </w:lvl>
    <w:lvl w:ilvl="5">
      <w:start w:val="1"/>
      <w:numFmt w:val="decimal"/>
      <w:lvlText w:val="%6."/>
      <w:lvlJc w:val="left"/>
      <w:pPr>
        <w:ind w:left="4253" w:hanging="253"/>
      </w:pPr>
      <w:rPr>
        <w:smallCaps w:val="0"/>
        <w:strike w:val="0"/>
        <w:shd w:fill="auto" w:val="clear"/>
        <w:vertAlign w:val="baseline"/>
      </w:rPr>
    </w:lvl>
    <w:lvl w:ilvl="6">
      <w:start w:val="1"/>
      <w:numFmt w:val="decimal"/>
      <w:lvlText w:val="%7."/>
      <w:lvlJc w:val="left"/>
      <w:pPr>
        <w:ind w:left="5053" w:hanging="253"/>
      </w:pPr>
      <w:rPr>
        <w:smallCaps w:val="0"/>
        <w:strike w:val="0"/>
        <w:shd w:fill="auto" w:val="clear"/>
        <w:vertAlign w:val="baseline"/>
      </w:rPr>
    </w:lvl>
    <w:lvl w:ilvl="7">
      <w:start w:val="1"/>
      <w:numFmt w:val="decimal"/>
      <w:lvlText w:val="%8."/>
      <w:lvlJc w:val="left"/>
      <w:pPr>
        <w:ind w:left="5853" w:hanging="253"/>
      </w:pPr>
      <w:rPr>
        <w:smallCaps w:val="0"/>
        <w:strike w:val="0"/>
        <w:shd w:fill="auto" w:val="clear"/>
        <w:vertAlign w:val="baseline"/>
      </w:rPr>
    </w:lvl>
    <w:lvl w:ilvl="8">
      <w:start w:val="1"/>
      <w:numFmt w:val="decimal"/>
      <w:lvlText w:val="%9."/>
      <w:lvlJc w:val="left"/>
      <w:pPr>
        <w:ind w:left="6653" w:hanging="253"/>
      </w:pPr>
      <w:rPr>
        <w:smallCaps w:val="0"/>
        <w:strike w:val="0"/>
        <w:shd w:fill="auto" w:val="clear"/>
        <w:vertAlign w:val="baseline"/>
      </w:rPr>
    </w:lvl>
  </w:abstractNum>
  <w:abstractNum w:abstractNumId="6">
    <w:lvl w:ilvl="0">
      <w:start w:val="1"/>
      <w:numFmt w:val="decimal"/>
      <w:lvlText w:val="%1."/>
      <w:lvlJc w:val="left"/>
      <w:pPr>
        <w:ind w:left="253" w:hanging="253"/>
      </w:pPr>
      <w:rPr>
        <w:smallCaps w:val="0"/>
        <w:strike w:val="0"/>
        <w:shd w:fill="auto" w:val="clear"/>
        <w:vertAlign w:val="baseline"/>
      </w:rPr>
    </w:lvl>
    <w:lvl w:ilvl="1">
      <w:start w:val="1"/>
      <w:numFmt w:val="decimal"/>
      <w:lvlText w:val="%2."/>
      <w:lvlJc w:val="left"/>
      <w:pPr>
        <w:ind w:left="1053" w:hanging="253"/>
      </w:pPr>
      <w:rPr>
        <w:smallCaps w:val="0"/>
        <w:strike w:val="0"/>
        <w:shd w:fill="auto" w:val="clear"/>
        <w:vertAlign w:val="baseline"/>
      </w:rPr>
    </w:lvl>
    <w:lvl w:ilvl="2">
      <w:start w:val="1"/>
      <w:numFmt w:val="decimal"/>
      <w:lvlText w:val="%3."/>
      <w:lvlJc w:val="left"/>
      <w:pPr>
        <w:ind w:left="1853" w:hanging="253"/>
      </w:pPr>
      <w:rPr>
        <w:smallCaps w:val="0"/>
        <w:strike w:val="0"/>
        <w:shd w:fill="auto" w:val="clear"/>
        <w:vertAlign w:val="baseline"/>
      </w:rPr>
    </w:lvl>
    <w:lvl w:ilvl="3">
      <w:start w:val="1"/>
      <w:numFmt w:val="decimal"/>
      <w:lvlText w:val="%4."/>
      <w:lvlJc w:val="left"/>
      <w:pPr>
        <w:ind w:left="2653" w:hanging="253"/>
      </w:pPr>
      <w:rPr>
        <w:smallCaps w:val="0"/>
        <w:strike w:val="0"/>
        <w:shd w:fill="auto" w:val="clear"/>
        <w:vertAlign w:val="baseline"/>
      </w:rPr>
    </w:lvl>
    <w:lvl w:ilvl="4">
      <w:start w:val="1"/>
      <w:numFmt w:val="decimal"/>
      <w:lvlText w:val="%5."/>
      <w:lvlJc w:val="left"/>
      <w:pPr>
        <w:ind w:left="3453" w:hanging="253"/>
      </w:pPr>
      <w:rPr>
        <w:smallCaps w:val="0"/>
        <w:strike w:val="0"/>
        <w:shd w:fill="auto" w:val="clear"/>
        <w:vertAlign w:val="baseline"/>
      </w:rPr>
    </w:lvl>
    <w:lvl w:ilvl="5">
      <w:start w:val="1"/>
      <w:numFmt w:val="decimal"/>
      <w:lvlText w:val="%6."/>
      <w:lvlJc w:val="left"/>
      <w:pPr>
        <w:ind w:left="4253" w:hanging="253"/>
      </w:pPr>
      <w:rPr>
        <w:smallCaps w:val="0"/>
        <w:strike w:val="0"/>
        <w:shd w:fill="auto" w:val="clear"/>
        <w:vertAlign w:val="baseline"/>
      </w:rPr>
    </w:lvl>
    <w:lvl w:ilvl="6">
      <w:start w:val="1"/>
      <w:numFmt w:val="decimal"/>
      <w:lvlText w:val="%7."/>
      <w:lvlJc w:val="left"/>
      <w:pPr>
        <w:ind w:left="5053" w:hanging="253"/>
      </w:pPr>
      <w:rPr>
        <w:smallCaps w:val="0"/>
        <w:strike w:val="0"/>
        <w:shd w:fill="auto" w:val="clear"/>
        <w:vertAlign w:val="baseline"/>
      </w:rPr>
    </w:lvl>
    <w:lvl w:ilvl="7">
      <w:start w:val="1"/>
      <w:numFmt w:val="decimal"/>
      <w:lvlText w:val="%8."/>
      <w:lvlJc w:val="left"/>
      <w:pPr>
        <w:ind w:left="5853" w:hanging="253"/>
      </w:pPr>
      <w:rPr>
        <w:smallCaps w:val="0"/>
        <w:strike w:val="0"/>
        <w:shd w:fill="auto" w:val="clear"/>
        <w:vertAlign w:val="baseline"/>
      </w:rPr>
    </w:lvl>
    <w:lvl w:ilvl="8">
      <w:start w:val="1"/>
      <w:numFmt w:val="decimal"/>
      <w:lvlText w:val="%9."/>
      <w:lvlJc w:val="left"/>
      <w:pPr>
        <w:ind w:left="6653" w:hanging="253"/>
      </w:pPr>
      <w:rPr>
        <w:smallCaps w:val="0"/>
        <w:strike w:val="0"/>
        <w:shd w:fill="auto" w:val="clear"/>
        <w:vertAlign w:val="baseline"/>
      </w:rPr>
    </w:lvl>
  </w:abstractNum>
  <w:abstractNum w:abstractNumId="7">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8">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9">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0">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1">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2">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3">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4">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30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30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300"/>
      </w:pPr>
      <w:rPr>
        <w:smallCaps w:val="0"/>
        <w:strike w:val="0"/>
        <w:shd w:fill="auto" w:val="clear"/>
        <w:vertAlign w:val="baseline"/>
      </w:rPr>
    </w:lvl>
  </w:abstractNum>
  <w:abstractNum w:abstractNumId="15">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6">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7">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8">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19">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20">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abstractNum w:abstractNumId="21">
    <w:lvl w:ilvl="0">
      <w:start w:val="1"/>
      <w:numFmt w:val="decimal"/>
      <w:lvlText w:val="%1."/>
      <w:lvlJc w:val="left"/>
      <w:pPr>
        <w:ind w:left="720" w:hanging="360"/>
      </w:pPr>
      <w:rPr>
        <w:smallCaps w:val="0"/>
        <w:strike w:val="0"/>
        <w:shd w:fill="auto" w:val="clear"/>
        <w:vertAlign w:val="baseline"/>
      </w:rPr>
    </w:lvl>
    <w:lvl w:ilvl="1">
      <w:start w:val="1"/>
      <w:numFmt w:val="lowerLetter"/>
      <w:lvlText w:val="%2."/>
      <w:lvlJc w:val="left"/>
      <w:pPr>
        <w:ind w:left="1440" w:hanging="360"/>
      </w:pPr>
      <w:rPr>
        <w:smallCaps w:val="0"/>
        <w:strike w:val="0"/>
        <w:shd w:fill="auto" w:val="clear"/>
        <w:vertAlign w:val="baseline"/>
      </w:rPr>
    </w:lvl>
    <w:lvl w:ilvl="2">
      <w:start w:val="1"/>
      <w:numFmt w:val="lowerRoman"/>
      <w:lvlText w:val="%3."/>
      <w:lvlJc w:val="left"/>
      <w:pPr>
        <w:ind w:left="2160" w:hanging="270"/>
      </w:pPr>
      <w:rPr>
        <w:smallCaps w:val="0"/>
        <w:strike w:val="0"/>
        <w:shd w:fill="auto" w:val="clear"/>
        <w:vertAlign w:val="baseline"/>
      </w:rPr>
    </w:lvl>
    <w:lvl w:ilvl="3">
      <w:start w:val="1"/>
      <w:numFmt w:val="decimal"/>
      <w:lvlText w:val="%4."/>
      <w:lvlJc w:val="left"/>
      <w:pPr>
        <w:ind w:left="2880" w:hanging="360"/>
      </w:pPr>
      <w:rPr>
        <w:smallCaps w:val="0"/>
        <w:strike w:val="0"/>
        <w:shd w:fill="auto" w:val="clear"/>
        <w:vertAlign w:val="baseline"/>
      </w:rPr>
    </w:lvl>
    <w:lvl w:ilvl="4">
      <w:start w:val="1"/>
      <w:numFmt w:val="lowerLetter"/>
      <w:lvlText w:val="%5."/>
      <w:lvlJc w:val="left"/>
      <w:pPr>
        <w:ind w:left="3600" w:hanging="360"/>
      </w:pPr>
      <w:rPr>
        <w:smallCaps w:val="0"/>
        <w:strike w:val="0"/>
        <w:shd w:fill="auto" w:val="clear"/>
        <w:vertAlign w:val="baseline"/>
      </w:rPr>
    </w:lvl>
    <w:lvl w:ilvl="5">
      <w:start w:val="1"/>
      <w:numFmt w:val="lowerRoman"/>
      <w:lvlText w:val="%6."/>
      <w:lvlJc w:val="left"/>
      <w:pPr>
        <w:ind w:left="4320" w:hanging="270"/>
      </w:pPr>
      <w:rPr>
        <w:smallCaps w:val="0"/>
        <w:strike w:val="0"/>
        <w:shd w:fill="auto" w:val="clear"/>
        <w:vertAlign w:val="baseline"/>
      </w:rPr>
    </w:lvl>
    <w:lvl w:ilvl="6">
      <w:start w:val="1"/>
      <w:numFmt w:val="decimal"/>
      <w:lvlText w:val="%7."/>
      <w:lvlJc w:val="left"/>
      <w:pPr>
        <w:ind w:left="5040" w:hanging="360"/>
      </w:pPr>
      <w:rPr>
        <w:smallCaps w:val="0"/>
        <w:strike w:val="0"/>
        <w:shd w:fill="auto" w:val="clear"/>
        <w:vertAlign w:val="baseline"/>
      </w:rPr>
    </w:lvl>
    <w:lvl w:ilvl="7">
      <w:start w:val="1"/>
      <w:numFmt w:val="lowerLetter"/>
      <w:lvlText w:val="%8."/>
      <w:lvlJc w:val="left"/>
      <w:pPr>
        <w:ind w:left="5760" w:hanging="360"/>
      </w:pPr>
      <w:rPr>
        <w:smallCaps w:val="0"/>
        <w:strike w:val="0"/>
        <w:shd w:fill="auto" w:val="clear"/>
        <w:vertAlign w:val="baseline"/>
      </w:rPr>
    </w:lvl>
    <w:lvl w:ilvl="8">
      <w:start w:val="1"/>
      <w:numFmt w:val="lowerRoman"/>
      <w:lvlText w:val="%9."/>
      <w:lvlJc w:val="left"/>
      <w:pPr>
        <w:ind w:left="6480" w:hanging="270"/>
      </w:pPr>
      <w:rPr>
        <w:smallCaps w:val="0"/>
        <w:strike w:val="0"/>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legal.tsba.net/state-statutes/t-c-a-%25C2%25A7-49-6-3022-excused-absence-for-participation-in-nonschool-sponsored-extracurricular-activity" TargetMode="External"/><Relationship Id="rId22" Type="http://schemas.openxmlformats.org/officeDocument/2006/relationships/hyperlink" Target="https://legal.tsba.net/state-statutes/t-c-a-%25C2%25A7-49-2-130-policy-excusing-student-to-attend-released-time-course-in-religious-moral-instruction-authorized-requirements-liability-credit" TargetMode="External"/><Relationship Id="rId21" Type="http://schemas.openxmlformats.org/officeDocument/2006/relationships/hyperlink" Target="https://legal.tsba.net/state-statutes/t-c-a-%25C2%25A7-49-2-130-policy-excusing-student-to-attend-released-time-course-in-religious-moral-instruction-authorized-requirements-liability-credit" TargetMode="External"/><Relationship Id="rId24" Type="http://schemas.openxmlformats.org/officeDocument/2006/relationships/hyperlink" Target="https://legal.tsba.net/state-statutes/t-c-a-%25C2%25A7-49-6-3002-state-attendance-guidelines-no-penalty-for-period-of-hospital-or-homebound-instruction" TargetMode="External"/><Relationship Id="rId23" Type="http://schemas.openxmlformats.org/officeDocument/2006/relationships/hyperlink" Target="https://legal.tsba.net/state-statutes/t-c-a-%25C2%25A7-49-2-203-duties-and-powers"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legal.tsba.net/state-statutes/t-c-a-%25C2%25A7-49-6-3006-attendance-supervisor" TargetMode="External"/><Relationship Id="rId26" Type="http://schemas.openxmlformats.org/officeDocument/2006/relationships/header" Target="header1.xml"/><Relationship Id="rId25" Type="http://schemas.openxmlformats.org/officeDocument/2006/relationships/hyperlink" Target="https://publications.tnsosfiles.com/rules/0520/0520.htm" TargetMode="External"/><Relationship Id="rId28" Type="http://schemas.openxmlformats.org/officeDocument/2006/relationships/footer" Target="footer1.xml"/><Relationship Id="rId27"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2.xml"/><Relationship Id="rId7" Type="http://schemas.openxmlformats.org/officeDocument/2006/relationships/customXml" Target="../customXML/item1.xml"/><Relationship Id="rId8" Type="http://schemas.microsoft.com/office/2011/relationships/commentsExtended" Target="commentsExtended.xml"/><Relationship Id="rId11" Type="http://schemas.openxmlformats.org/officeDocument/2006/relationships/hyperlink" Target="https://uscode.house.gov/view.xhtml?req=(title:20%2520section:1232g%2520edition:prelim)%2520OR%2520(granuleid:USC-prelim-title20-section1232g)&amp;f=treesort&amp;edition=prelim&amp;num=0&amp;jumpTo=true" TargetMode="External"/><Relationship Id="rId10" Type="http://schemas.openxmlformats.org/officeDocument/2006/relationships/hyperlink" Target="https://legal.tsba.net/state-statutes/t-c-a-%25C2%25A7-49-6-3017-minors-withdrawn-from-secondary-school-denial-of-motor-vehicle-license-or-permit" TargetMode="External"/><Relationship Id="rId13" Type="http://schemas.openxmlformats.org/officeDocument/2006/relationships/hyperlink" Target="https://www.tn.gov/sbe/rules--policies-and-guidance/policies.html" TargetMode="External"/><Relationship Id="rId12" Type="http://schemas.openxmlformats.org/officeDocument/2006/relationships/hyperlink" Target="https://publications.tnsosfiles.com/rules/0520/0520.htm" TargetMode="External"/><Relationship Id="rId15" Type="http://schemas.openxmlformats.org/officeDocument/2006/relationships/hyperlink" Target="https://legal.tsba.net/state-statutes/t-c-a-%25C2%25A7-49-6-3007-list-of-students-reports-of-attendance-enforcement-of-compulsory-attendance-list-of-truant-students" TargetMode="External"/><Relationship Id="rId14" Type="http://schemas.openxmlformats.org/officeDocument/2006/relationships/hyperlink" Target="https://legal.tsba.net/state-statutes/t-c-a-%25C2%25A7-49-6-2904-rights-of-students" TargetMode="External"/><Relationship Id="rId17" Type="http://schemas.openxmlformats.org/officeDocument/2006/relationships/hyperlink" Target="https://legal.tsba.net/state-statutes/t-c-a-%25C2%25A7-49-6-3007-list-of-students-reports-of-attendance-enforcement-of-compulsory-attendance-list-of-truant-students" TargetMode="External"/><Relationship Id="rId16" Type="http://schemas.openxmlformats.org/officeDocument/2006/relationships/hyperlink" Target="https://legal.tsba.net/state-statutes/t-c-a-%25C2%25A7-49-6-3021-remedial-instruction-outside-of-regular-school-day" TargetMode="External"/><Relationship Id="rId19" Type="http://schemas.openxmlformats.org/officeDocument/2006/relationships/hyperlink" Target="https://publications.tnsosfiles.com/acts/114/pub/pc0844.pdf" TargetMode="External"/><Relationship Id="rId18" Type="http://schemas.openxmlformats.org/officeDocument/2006/relationships/hyperlink" Target="https://legal.tsba.net/state-statutes/t-c-a-%25C2%25A7-49-6-3009-educational-neglect-progressive-truancy-plans-that-implement-tiers-of-intervention-referral-to-juvenile-cour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jUykwcoKksH8v7o0yDDw/yD1dg==">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